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3022B" w14:textId="088A37C4" w:rsidR="00D77C5F" w:rsidRPr="001F5DBB" w:rsidRDefault="00D77C5F" w:rsidP="00514F60">
      <w:pPr>
        <w:pStyle w:val="Sub-Title"/>
        <w:rPr>
          <w:b/>
          <w:bCs/>
          <w:color w:val="2F8475"/>
          <w:sz w:val="52"/>
          <w:szCs w:val="52"/>
        </w:rPr>
      </w:pPr>
      <w:r w:rsidRPr="001F5DBB">
        <w:rPr>
          <w:b/>
          <w:bCs/>
          <w:color w:val="2F8475"/>
          <w:sz w:val="52"/>
          <w:szCs w:val="52"/>
        </w:rPr>
        <w:t xml:space="preserve">December </w:t>
      </w:r>
      <w:r w:rsidR="00876816" w:rsidRPr="001F5DBB">
        <w:rPr>
          <w:b/>
          <w:bCs/>
          <w:color w:val="2F8475"/>
          <w:sz w:val="52"/>
          <w:szCs w:val="52"/>
        </w:rPr>
        <w:t xml:space="preserve">2023 </w:t>
      </w:r>
      <w:r w:rsidRPr="001F5DBB">
        <w:rPr>
          <w:b/>
          <w:bCs/>
          <w:color w:val="2F8475"/>
          <w:sz w:val="52"/>
          <w:szCs w:val="52"/>
        </w:rPr>
        <w:t>dates for the diary</w:t>
      </w:r>
    </w:p>
    <w:p w14:paraId="1D7D30B3" w14:textId="05AA5412" w:rsidR="00EF55AF" w:rsidRPr="00D77C5F" w:rsidRDefault="00D77C5F">
      <w:pPr>
        <w:rPr>
          <w:rFonts w:ascii="Century Gothic" w:hAnsi="Century Gothic" w:cs="Arial"/>
          <w:sz w:val="36"/>
          <w:szCs w:val="36"/>
        </w:rPr>
      </w:pPr>
      <w:r w:rsidRPr="00D77C5F">
        <w:rPr>
          <w:rFonts w:ascii="Century Gothic" w:hAnsi="Century Gothic" w:cs="Arial"/>
          <w:sz w:val="36"/>
          <w:szCs w:val="36"/>
        </w:rPr>
        <w:t>Key dates for the month ahead</w:t>
      </w:r>
    </w:p>
    <w:p w14:paraId="3A34635F" w14:textId="77777777" w:rsidR="00290484" w:rsidRPr="001F5073" w:rsidRDefault="00290484" w:rsidP="00D77C5F">
      <w:pPr>
        <w:pStyle w:val="Bullets"/>
        <w:numPr>
          <w:ilvl w:val="0"/>
          <w:numId w:val="0"/>
        </w:numPr>
      </w:pPr>
    </w:p>
    <w:p w14:paraId="4ABECE29" w14:textId="77777777" w:rsidR="00D77C5F" w:rsidRPr="00D77C5F" w:rsidRDefault="00D77C5F" w:rsidP="00D77C5F">
      <w:pPr>
        <w:pStyle w:val="HighlightBoxStyle1"/>
      </w:pPr>
      <w:r w:rsidRPr="00D77C5F">
        <w:t>Consumer</w:t>
      </w:r>
    </w:p>
    <w:p w14:paraId="14F7DFAD" w14:textId="77777777" w:rsidR="00D77C5F" w:rsidRDefault="00D77C5F" w:rsidP="00D77C5F">
      <w:pPr>
        <w:pStyle w:val="BodyCopy"/>
      </w:pPr>
    </w:p>
    <w:p w14:paraId="65B100E0" w14:textId="0D80F426" w:rsidR="00D77C5F" w:rsidRDefault="00D77C5F" w:rsidP="00D77C5F">
      <w:pPr>
        <w:pStyle w:val="BodyCopy"/>
      </w:pPr>
      <w:r w:rsidRPr="00D77C5F">
        <w:t>02</w:t>
      </w:r>
      <w:r w:rsidR="009C0883">
        <w:t xml:space="preserve"> </w:t>
      </w:r>
      <w:r w:rsidR="00741CB6">
        <w:tab/>
      </w:r>
      <w:r>
        <w:t>Small Business Saturday UK</w:t>
      </w:r>
      <w:r>
        <w:tab/>
      </w:r>
    </w:p>
    <w:p w14:paraId="527B740E" w14:textId="5F7127A1" w:rsidR="00D77C5F" w:rsidRDefault="00D77C5F" w:rsidP="00D77C5F">
      <w:pPr>
        <w:pStyle w:val="BodyCopy"/>
      </w:pPr>
      <w:r w:rsidRPr="00D77C5F">
        <w:t>05</w:t>
      </w:r>
      <w:r w:rsidR="009C0883">
        <w:t xml:space="preserve"> </w:t>
      </w:r>
      <w:r w:rsidR="00741CB6">
        <w:tab/>
      </w:r>
      <w:r>
        <w:t xml:space="preserve">Barclays Consumer Spending Data monthly figures </w:t>
      </w:r>
    </w:p>
    <w:p w14:paraId="3B575AF1" w14:textId="4DB41CDD" w:rsidR="00741CB6" w:rsidRDefault="00741CB6" w:rsidP="001F5DBB">
      <w:pPr>
        <w:pStyle w:val="BodyCopy"/>
      </w:pPr>
      <w:r>
        <w:t>08</w:t>
      </w:r>
      <w:r>
        <w:tab/>
        <w:t>BDO High Street Sales Tracker</w:t>
      </w:r>
    </w:p>
    <w:p w14:paraId="1C612528" w14:textId="6280E1D0" w:rsidR="00D77C5F" w:rsidRDefault="00D77C5F" w:rsidP="00D77C5F">
      <w:pPr>
        <w:pStyle w:val="BodyCopy"/>
      </w:pPr>
      <w:r w:rsidRPr="00D77C5F">
        <w:t>12</w:t>
      </w:r>
      <w:r w:rsidR="009C0883">
        <w:t xml:space="preserve"> </w:t>
      </w:r>
      <w:r w:rsidR="00741CB6">
        <w:tab/>
      </w:r>
      <w:r w:rsidR="001F5DBB">
        <w:t xml:space="preserve">ONS: </w:t>
      </w:r>
      <w:r>
        <w:t>Earnings and employment from Pay As You Earn Real Time Information</w:t>
      </w:r>
    </w:p>
    <w:p w14:paraId="04DB220A" w14:textId="205C7D4E" w:rsidR="00741CB6" w:rsidRDefault="00741CB6" w:rsidP="00741CB6">
      <w:pPr>
        <w:pStyle w:val="BodyCopy"/>
      </w:pPr>
      <w:r>
        <w:t>15</w:t>
      </w:r>
      <w:r>
        <w:tab/>
      </w:r>
      <w:r w:rsidR="00AF6C6A">
        <w:t xml:space="preserve">GfK: </w:t>
      </w:r>
      <w:r>
        <w:t>UK Consumer Confidence Survey</w:t>
      </w:r>
    </w:p>
    <w:p w14:paraId="55DB439A" w14:textId="77777777" w:rsidR="00D77C5F" w:rsidRDefault="00D77C5F" w:rsidP="00D77C5F">
      <w:pPr>
        <w:pStyle w:val="BodyCopy"/>
      </w:pPr>
    </w:p>
    <w:p w14:paraId="57BD3D24" w14:textId="77777777" w:rsidR="00D77C5F" w:rsidRDefault="00D77C5F" w:rsidP="00D77C5F">
      <w:pPr>
        <w:pStyle w:val="HighlightBoxStyle1"/>
      </w:pPr>
      <w:r w:rsidRPr="00D77C5F">
        <w:t>Media/Awards</w:t>
      </w:r>
    </w:p>
    <w:p w14:paraId="25517602" w14:textId="77777777" w:rsidR="00F13117" w:rsidRDefault="00F13117" w:rsidP="00D77C5F">
      <w:pPr>
        <w:pStyle w:val="HighlightBoxStyle1"/>
      </w:pPr>
    </w:p>
    <w:p w14:paraId="5F3B16D0" w14:textId="4AB21EDE" w:rsidR="00F13117" w:rsidRDefault="00F13117" w:rsidP="00F13117">
      <w:pPr>
        <w:pStyle w:val="BodyCopy"/>
      </w:pPr>
      <w:r w:rsidRPr="00D77C5F">
        <w:t>0</w:t>
      </w:r>
      <w:r w:rsidR="00BE3D11">
        <w:t>1</w:t>
      </w:r>
      <w:r>
        <w:t xml:space="preserve"> </w:t>
      </w:r>
      <w:r>
        <w:tab/>
        <w:t xml:space="preserve">The </w:t>
      </w:r>
      <w:proofErr w:type="spellStart"/>
      <w:r>
        <w:t>Powerwomen</w:t>
      </w:r>
      <w:proofErr w:type="spellEnd"/>
      <w:r>
        <w:t xml:space="preserve"> Awards voting deadline</w:t>
      </w:r>
    </w:p>
    <w:p w14:paraId="2F570E8E" w14:textId="088EBEBD" w:rsidR="00BE3D11" w:rsidRDefault="00BE3D11" w:rsidP="00BE3D11">
      <w:pPr>
        <w:pStyle w:val="BodyCopy"/>
      </w:pPr>
      <w:r w:rsidRPr="00D77C5F">
        <w:t>0</w:t>
      </w:r>
      <w:r>
        <w:t xml:space="preserve">4 </w:t>
      </w:r>
      <w:r>
        <w:tab/>
        <w:t>Financial Times Business Book of the Year Award</w:t>
      </w:r>
    </w:p>
    <w:p w14:paraId="33C89A38" w14:textId="5B7A1303" w:rsidR="00BE3D11" w:rsidRDefault="00BE3D11" w:rsidP="00BE3D11">
      <w:pPr>
        <w:pStyle w:val="BodyCopy"/>
      </w:pPr>
      <w:r w:rsidRPr="00D77C5F">
        <w:t>0</w:t>
      </w:r>
      <w:r>
        <w:t>8</w:t>
      </w:r>
      <w:r>
        <w:tab/>
        <w:t>ESG Investing Awards entry deadline</w:t>
      </w:r>
    </w:p>
    <w:p w14:paraId="652FBB6F" w14:textId="77777777" w:rsidR="00BE3D11" w:rsidRDefault="00BE3D11" w:rsidP="00BE3D11">
      <w:pPr>
        <w:pStyle w:val="BodyCopy"/>
      </w:pPr>
      <w:r>
        <w:tab/>
      </w:r>
      <w:r w:rsidRPr="00BE3D11">
        <w:t>Birmingham Post Business Awards</w:t>
      </w:r>
    </w:p>
    <w:p w14:paraId="31D12060" w14:textId="0AD69571" w:rsidR="00BE3D11" w:rsidRDefault="00BE3D11" w:rsidP="00BE3D11">
      <w:pPr>
        <w:pStyle w:val="BodyCopy"/>
      </w:pPr>
      <w:r>
        <w:t>1</w:t>
      </w:r>
      <w:r w:rsidRPr="00D77C5F">
        <w:t>2</w:t>
      </w:r>
      <w:r>
        <w:t xml:space="preserve"> </w:t>
      </w:r>
      <w:r>
        <w:tab/>
        <w:t>Impact A.M. Awards</w:t>
      </w:r>
    </w:p>
    <w:p w14:paraId="331F22DE" w14:textId="277F6466" w:rsidR="00F13117" w:rsidRDefault="00BE3D11" w:rsidP="00F13117">
      <w:pPr>
        <w:pStyle w:val="BodyCopy"/>
      </w:pPr>
      <w:r>
        <w:t xml:space="preserve">14 </w:t>
      </w:r>
      <w:r>
        <w:tab/>
      </w:r>
      <w:proofErr w:type="spellStart"/>
      <w:r>
        <w:t>ProShare</w:t>
      </w:r>
      <w:proofErr w:type="spellEnd"/>
      <w:r>
        <w:t xml:space="preserve"> Annual Awards</w:t>
      </w:r>
    </w:p>
    <w:p w14:paraId="59FA0F74" w14:textId="77777777" w:rsidR="00D77C5F" w:rsidRDefault="00D77C5F" w:rsidP="00D77C5F">
      <w:pPr>
        <w:pStyle w:val="BodyCopy"/>
      </w:pPr>
    </w:p>
    <w:p w14:paraId="692FCA54" w14:textId="77777777" w:rsidR="00D77C5F" w:rsidRPr="00D77C5F" w:rsidRDefault="00D77C5F" w:rsidP="00D77C5F">
      <w:pPr>
        <w:pStyle w:val="HighlightBoxStyle1"/>
      </w:pPr>
      <w:r w:rsidRPr="00D77C5F">
        <w:t xml:space="preserve">Economic/FS Industry </w:t>
      </w:r>
    </w:p>
    <w:p w14:paraId="6971D5A6" w14:textId="77777777" w:rsidR="00D77C5F" w:rsidRDefault="00D77C5F" w:rsidP="00D77C5F">
      <w:pPr>
        <w:pStyle w:val="BodyCopy"/>
      </w:pPr>
    </w:p>
    <w:p w14:paraId="4F1E390A" w14:textId="77777777" w:rsidR="00D77C5F" w:rsidRDefault="00D77C5F" w:rsidP="00D77C5F">
      <w:pPr>
        <w:pStyle w:val="BodyCopy"/>
      </w:pPr>
      <w:r>
        <w:t>01</w:t>
      </w:r>
      <w:r>
        <w:tab/>
        <w:t>Bank of England external business stats</w:t>
      </w:r>
      <w:r>
        <w:tab/>
      </w:r>
    </w:p>
    <w:p w14:paraId="11871FB4" w14:textId="3E4DE628" w:rsidR="00741CB6" w:rsidRDefault="00F13117" w:rsidP="00741CB6">
      <w:pPr>
        <w:pStyle w:val="BodyCopy"/>
        <w:ind w:left="720"/>
      </w:pPr>
      <w:r>
        <w:t xml:space="preserve">ONS: </w:t>
      </w:r>
      <w:r w:rsidR="00D77C5F">
        <w:t>Business insights and impact on the UK economy statistics</w:t>
      </w:r>
    </w:p>
    <w:p w14:paraId="2E706949" w14:textId="6C88D559" w:rsidR="00741CB6" w:rsidRDefault="00741CB6" w:rsidP="00741CB6">
      <w:pPr>
        <w:pStyle w:val="BodyCopy"/>
        <w:ind w:left="720"/>
      </w:pPr>
      <w:proofErr w:type="spellStart"/>
      <w:r>
        <w:t>IoD's</w:t>
      </w:r>
      <w:proofErr w:type="spellEnd"/>
      <w:r>
        <w:t xml:space="preserve"> Directors' Economic Confidence Index</w:t>
      </w:r>
    </w:p>
    <w:p w14:paraId="07DC384E" w14:textId="77777777" w:rsidR="00D77C5F" w:rsidRDefault="00D77C5F" w:rsidP="00D77C5F">
      <w:pPr>
        <w:pStyle w:val="BodyCopy"/>
      </w:pPr>
      <w:r>
        <w:t>04</w:t>
      </w:r>
      <w:r>
        <w:tab/>
        <w:t>Financial Reporting Council consultation closes</w:t>
      </w:r>
    </w:p>
    <w:p w14:paraId="2668AC3A" w14:textId="77777777" w:rsidR="00D77C5F" w:rsidRDefault="00D77C5F" w:rsidP="00D77C5F">
      <w:pPr>
        <w:pStyle w:val="BodyCopy"/>
        <w:ind w:left="720"/>
      </w:pPr>
      <w:r>
        <w:t>The UK national balance sheet estimates: 2023</w:t>
      </w:r>
      <w:r>
        <w:tab/>
      </w:r>
    </w:p>
    <w:p w14:paraId="234A91F5" w14:textId="12CB04E8" w:rsidR="00741CB6" w:rsidRDefault="00741CB6" w:rsidP="001F5DBB">
      <w:pPr>
        <w:pStyle w:val="BodyCopy"/>
      </w:pPr>
      <w:r>
        <w:t xml:space="preserve">05 </w:t>
      </w:r>
      <w:r>
        <w:tab/>
        <w:t>FTSE4Good Index Semi-Annual Review</w:t>
      </w:r>
      <w:r>
        <w:tab/>
      </w:r>
    </w:p>
    <w:p w14:paraId="18A40723" w14:textId="77777777" w:rsidR="00D77C5F" w:rsidRDefault="00D77C5F" w:rsidP="00D77C5F">
      <w:pPr>
        <w:pStyle w:val="BodyCopy"/>
      </w:pPr>
      <w:r>
        <w:t>06</w:t>
      </w:r>
      <w:r>
        <w:tab/>
        <w:t>Bank of England's Financial Stability Report</w:t>
      </w:r>
      <w:r>
        <w:tab/>
      </w:r>
    </w:p>
    <w:p w14:paraId="67B289ED" w14:textId="77777777" w:rsidR="00D77C5F" w:rsidRDefault="00D77C5F" w:rsidP="00D77C5F">
      <w:pPr>
        <w:pStyle w:val="BodyCopy"/>
        <w:ind w:left="720"/>
      </w:pPr>
      <w:r>
        <w:t>Financial Ombudsman Service publishes latest complaint data</w:t>
      </w:r>
      <w:r>
        <w:tab/>
      </w:r>
    </w:p>
    <w:p w14:paraId="47623C7D" w14:textId="78CE213C" w:rsidR="00D77C5F" w:rsidRDefault="00AF6C6A" w:rsidP="00D77C5F">
      <w:pPr>
        <w:pStyle w:val="BodyCopy"/>
        <w:ind w:left="720"/>
      </w:pPr>
      <w:r w:rsidRPr="00AF6C6A">
        <w:t>UK Finance</w:t>
      </w:r>
      <w:r>
        <w:t xml:space="preserve">: </w:t>
      </w:r>
      <w:r w:rsidR="00D77C5F">
        <w:t>Household Finance Review</w:t>
      </w:r>
      <w:r w:rsidR="00D77C5F">
        <w:tab/>
      </w:r>
    </w:p>
    <w:p w14:paraId="1EB756C3" w14:textId="77777777" w:rsidR="00D77C5F" w:rsidRDefault="00D77C5F" w:rsidP="00D77C5F">
      <w:pPr>
        <w:pStyle w:val="BodyCopy"/>
      </w:pPr>
      <w:r>
        <w:t>07</w:t>
      </w:r>
      <w:r>
        <w:tab/>
        <w:t>Bank of England Decision Maker Panel data</w:t>
      </w:r>
      <w:r>
        <w:tab/>
      </w:r>
    </w:p>
    <w:p w14:paraId="7A883806" w14:textId="77777777" w:rsidR="00D77C5F" w:rsidRDefault="00D77C5F" w:rsidP="00D77C5F">
      <w:pPr>
        <w:pStyle w:val="BodyCopy"/>
        <w:ind w:left="720"/>
      </w:pPr>
      <w:r>
        <w:t>Halifax House Price Index</w:t>
      </w:r>
      <w:r>
        <w:tab/>
      </w:r>
    </w:p>
    <w:p w14:paraId="56DA3F6E" w14:textId="63BB8CD1" w:rsidR="00D77C5F" w:rsidRDefault="00AF6C6A" w:rsidP="00D77C5F">
      <w:pPr>
        <w:pStyle w:val="BodyCopy"/>
        <w:ind w:left="720"/>
      </w:pPr>
      <w:r>
        <w:t xml:space="preserve">ONS: </w:t>
      </w:r>
      <w:r w:rsidR="00D77C5F">
        <w:t>Economic activity and social change in the UK, real-time indicators</w:t>
      </w:r>
    </w:p>
    <w:p w14:paraId="0DC0458B" w14:textId="77777777" w:rsidR="00D77C5F" w:rsidRDefault="00D77C5F" w:rsidP="00D77C5F">
      <w:pPr>
        <w:pStyle w:val="BodyCopy"/>
      </w:pPr>
      <w:r>
        <w:t>08</w:t>
      </w:r>
      <w:r>
        <w:tab/>
        <w:t>Bank of England/Ipsos Inflation Attitudes Survey</w:t>
      </w:r>
    </w:p>
    <w:p w14:paraId="774B1318" w14:textId="6F82A451" w:rsidR="00741CB6" w:rsidRDefault="00741CB6" w:rsidP="00D77C5F">
      <w:pPr>
        <w:pStyle w:val="BodyCopy"/>
      </w:pPr>
      <w:r>
        <w:t>09</w:t>
      </w:r>
      <w:r>
        <w:tab/>
        <w:t>The Resolution Foundation Labour Market Outlook</w:t>
      </w:r>
      <w:r>
        <w:tab/>
      </w:r>
    </w:p>
    <w:p w14:paraId="24388C29" w14:textId="77777777" w:rsidR="00D77C5F" w:rsidRDefault="00D77C5F" w:rsidP="00D77C5F">
      <w:pPr>
        <w:pStyle w:val="BodyCopy"/>
      </w:pPr>
      <w:r>
        <w:t>11</w:t>
      </w:r>
      <w:r>
        <w:tab/>
        <w:t>Barclays SME Barometer</w:t>
      </w:r>
      <w:r>
        <w:tab/>
      </w:r>
    </w:p>
    <w:p w14:paraId="2865D03F" w14:textId="77777777" w:rsidR="00D77C5F" w:rsidRDefault="00D77C5F" w:rsidP="00D77C5F">
      <w:pPr>
        <w:pStyle w:val="BodyCopy"/>
        <w:ind w:left="720"/>
      </w:pPr>
      <w:r>
        <w:t>CBI Economic Forecast</w:t>
      </w:r>
      <w:r>
        <w:tab/>
      </w:r>
    </w:p>
    <w:p w14:paraId="64F2C213" w14:textId="034F41E2" w:rsidR="00D77C5F" w:rsidRDefault="00D77C5F" w:rsidP="00D77C5F">
      <w:pPr>
        <w:pStyle w:val="BodyCopy"/>
      </w:pPr>
      <w:r>
        <w:t>12</w:t>
      </w:r>
      <w:r>
        <w:tab/>
      </w:r>
      <w:r w:rsidR="00741CB6">
        <w:t xml:space="preserve">ONS </w:t>
      </w:r>
      <w:r>
        <w:t>UK monthly unemployment figures</w:t>
      </w:r>
      <w:r>
        <w:tab/>
      </w:r>
    </w:p>
    <w:p w14:paraId="500C2DCA" w14:textId="77777777" w:rsidR="00D77C5F" w:rsidRDefault="00D77C5F" w:rsidP="00D77C5F">
      <w:pPr>
        <w:pStyle w:val="BodyCopy"/>
      </w:pPr>
      <w:r>
        <w:t>13</w:t>
      </w:r>
      <w:r>
        <w:tab/>
        <w:t>LF Equity Income Fund Settlement Scheme meeting</w:t>
      </w:r>
      <w:r>
        <w:tab/>
      </w:r>
    </w:p>
    <w:p w14:paraId="7E4584E2" w14:textId="77777777" w:rsidR="00D77C5F" w:rsidRDefault="00D77C5F" w:rsidP="00D77C5F">
      <w:pPr>
        <w:pStyle w:val="BodyCopy"/>
        <w:ind w:left="720"/>
      </w:pPr>
      <w:r>
        <w:t>NIESR Monthly GDP Tracker</w:t>
      </w:r>
      <w:r>
        <w:tab/>
      </w:r>
    </w:p>
    <w:p w14:paraId="4C07BE86" w14:textId="0EDEE8BB" w:rsidR="00D77C5F" w:rsidRDefault="00741CB6" w:rsidP="00D77C5F">
      <w:pPr>
        <w:pStyle w:val="BodyCopy"/>
        <w:ind w:left="720"/>
      </w:pPr>
      <w:r>
        <w:t xml:space="preserve">ONS </w:t>
      </w:r>
      <w:r w:rsidR="00D77C5F">
        <w:t>Monthly GDP estimates</w:t>
      </w:r>
      <w:r w:rsidR="00D77C5F">
        <w:tab/>
      </w:r>
    </w:p>
    <w:p w14:paraId="6024EE39" w14:textId="7D8D6B62" w:rsidR="00D77C5F" w:rsidRDefault="00F13117" w:rsidP="00D77C5F">
      <w:pPr>
        <w:pStyle w:val="BodyCopy"/>
        <w:ind w:left="720"/>
      </w:pPr>
      <w:r w:rsidRPr="00F13117">
        <w:t>UK Finance</w:t>
      </w:r>
      <w:r>
        <w:t xml:space="preserve">: </w:t>
      </w:r>
      <w:r w:rsidR="00D77C5F">
        <w:t>Business Finance Review</w:t>
      </w:r>
      <w:r w:rsidR="00D77C5F">
        <w:tab/>
      </w:r>
    </w:p>
    <w:p w14:paraId="25C74EDB" w14:textId="1839DC4E" w:rsidR="00741CB6" w:rsidRDefault="00D77C5F" w:rsidP="00741CB6">
      <w:pPr>
        <w:pStyle w:val="BodyCopy"/>
      </w:pPr>
      <w:r>
        <w:t>14</w:t>
      </w:r>
      <w:r>
        <w:tab/>
      </w:r>
      <w:r w:rsidR="00741CB6">
        <w:t>Bank of England Monetary Policy Committee UK interest rate decision</w:t>
      </w:r>
    </w:p>
    <w:p w14:paraId="03D3EEDB" w14:textId="70B08503" w:rsidR="00D77C5F" w:rsidRDefault="00F13117" w:rsidP="001F5DBB">
      <w:pPr>
        <w:pStyle w:val="BodyCopy"/>
        <w:ind w:firstLine="720"/>
      </w:pPr>
      <w:r w:rsidRPr="00F13117">
        <w:t>Bank of England</w:t>
      </w:r>
      <w:r>
        <w:t xml:space="preserve">: </w:t>
      </w:r>
      <w:r w:rsidR="00D77C5F">
        <w:t>Agents' Summary of Business Conditions</w:t>
      </w:r>
      <w:r w:rsidR="00D77C5F">
        <w:tab/>
      </w:r>
    </w:p>
    <w:p w14:paraId="4682992A" w14:textId="77777777" w:rsidR="00D77C5F" w:rsidRDefault="00D77C5F" w:rsidP="00D77C5F">
      <w:pPr>
        <w:pStyle w:val="BodyCopy"/>
        <w:ind w:left="720"/>
      </w:pPr>
      <w:r>
        <w:t>Bank of England's Funding for Lending and Term Funding schemes data</w:t>
      </w:r>
      <w:r>
        <w:tab/>
      </w:r>
    </w:p>
    <w:p w14:paraId="1B3AC749" w14:textId="77777777" w:rsidR="00D77C5F" w:rsidRDefault="00D77C5F" w:rsidP="00D77C5F">
      <w:pPr>
        <w:pStyle w:val="BodyCopy"/>
        <w:ind w:left="720"/>
      </w:pPr>
      <w:r>
        <w:t>Clash of the Titans economic forecasting event</w:t>
      </w:r>
    </w:p>
    <w:p w14:paraId="38FC0BFE" w14:textId="6E624DFA" w:rsidR="00D77C5F" w:rsidRDefault="00F13117" w:rsidP="00D77C5F">
      <w:pPr>
        <w:pStyle w:val="BodyCopy"/>
        <w:ind w:left="720"/>
      </w:pPr>
      <w:r>
        <w:t xml:space="preserve">ONS: </w:t>
      </w:r>
      <w:r w:rsidR="00D77C5F">
        <w:t>Business insights and impact on the UK economy statistics</w:t>
      </w:r>
      <w:r w:rsidR="00D77C5F">
        <w:tab/>
      </w:r>
    </w:p>
    <w:p w14:paraId="3864EC43" w14:textId="2CB9E770" w:rsidR="00D77C5F" w:rsidRDefault="00F13117" w:rsidP="00D77C5F">
      <w:pPr>
        <w:pStyle w:val="BodyCopy"/>
        <w:ind w:left="720"/>
      </w:pPr>
      <w:r>
        <w:t xml:space="preserve">ONS: </w:t>
      </w:r>
      <w:r w:rsidR="00D77C5F">
        <w:t>Economic activity and social change in the UK, real-time indicators</w:t>
      </w:r>
    </w:p>
    <w:p w14:paraId="12C889C7" w14:textId="77777777" w:rsidR="00D77C5F" w:rsidRDefault="00D77C5F" w:rsidP="00D77C5F">
      <w:pPr>
        <w:pStyle w:val="BodyCopy"/>
        <w:ind w:left="720"/>
      </w:pPr>
      <w:r>
        <w:lastRenderedPageBreak/>
        <w:t>RICS Residential Market Survey</w:t>
      </w:r>
      <w:r>
        <w:tab/>
      </w:r>
    </w:p>
    <w:p w14:paraId="325A5D0D" w14:textId="77777777" w:rsidR="00D77C5F" w:rsidRDefault="00D77C5F" w:rsidP="00D77C5F">
      <w:pPr>
        <w:pStyle w:val="BodyCopy"/>
      </w:pPr>
      <w:r>
        <w:t>15</w:t>
      </w:r>
      <w:r>
        <w:tab/>
        <w:t>Bank of England Levy Framework Document consultation closes</w:t>
      </w:r>
      <w:r>
        <w:tab/>
      </w:r>
    </w:p>
    <w:p w14:paraId="4FB099AF" w14:textId="77777777" w:rsidR="00D77C5F" w:rsidRDefault="00D77C5F" w:rsidP="00D77C5F">
      <w:pPr>
        <w:pStyle w:val="BodyCopy"/>
        <w:ind w:left="720"/>
      </w:pPr>
      <w:r>
        <w:t>Bank of England Market Participants Survey results</w:t>
      </w:r>
      <w:r>
        <w:tab/>
      </w:r>
    </w:p>
    <w:p w14:paraId="45049FDF" w14:textId="77777777" w:rsidR="00D77C5F" w:rsidRDefault="00D77C5F" w:rsidP="00D77C5F">
      <w:pPr>
        <w:pStyle w:val="BodyCopy"/>
        <w:ind w:left="720"/>
      </w:pPr>
      <w:r>
        <w:t>Bank of England statistics on UK banks' external claims</w:t>
      </w:r>
      <w:r>
        <w:tab/>
      </w:r>
    </w:p>
    <w:p w14:paraId="5D760AEC" w14:textId="49D1264D" w:rsidR="00D77C5F" w:rsidRDefault="00F13117" w:rsidP="00D77C5F">
      <w:pPr>
        <w:pStyle w:val="BodyCopy"/>
        <w:ind w:left="720"/>
      </w:pPr>
      <w:r w:rsidRPr="00F13117">
        <w:t>Chartered Institute of Procurement &amp; Supply</w:t>
      </w:r>
      <w:r>
        <w:t xml:space="preserve">: </w:t>
      </w:r>
      <w:r w:rsidR="00D77C5F">
        <w:t>Flash UK PMI</w:t>
      </w:r>
      <w:r w:rsidR="00D77C5F">
        <w:tab/>
      </w:r>
    </w:p>
    <w:p w14:paraId="148DE291" w14:textId="77777777" w:rsidR="00D77C5F" w:rsidRDefault="00D77C5F" w:rsidP="00D77C5F">
      <w:pPr>
        <w:pStyle w:val="BodyCopy"/>
        <w:ind w:left="720"/>
      </w:pPr>
      <w:r>
        <w:t>Financial Ombudsman Service annual corporate plan and budget consultation</w:t>
      </w:r>
      <w:r>
        <w:tab/>
      </w:r>
    </w:p>
    <w:p w14:paraId="22399E8F" w14:textId="77777777" w:rsidR="00D77C5F" w:rsidRDefault="00D77C5F" w:rsidP="00D77C5F">
      <w:pPr>
        <w:pStyle w:val="BodyCopy"/>
        <w:ind w:left="720"/>
      </w:pPr>
      <w:r>
        <w:t>FTSE UK Index quarterly review changes are applied</w:t>
      </w:r>
      <w:r>
        <w:tab/>
      </w:r>
    </w:p>
    <w:p w14:paraId="17848B2D" w14:textId="77777777" w:rsidR="00D77C5F" w:rsidRDefault="00D77C5F" w:rsidP="00D77C5F">
      <w:pPr>
        <w:pStyle w:val="BodyCopy"/>
        <w:ind w:left="720"/>
      </w:pPr>
      <w:r>
        <w:t>FTSE4Good Index Semi-Annual Review changes applied</w:t>
      </w:r>
      <w:r>
        <w:tab/>
      </w:r>
    </w:p>
    <w:p w14:paraId="52DBEBCD" w14:textId="77777777" w:rsidR="00D77C5F" w:rsidRDefault="00D77C5F" w:rsidP="00D77C5F">
      <w:pPr>
        <w:pStyle w:val="BodyCopy"/>
        <w:ind w:left="720"/>
      </w:pPr>
      <w:r>
        <w:t>HM Treasury consultation closes on the Bank of England Levy</w:t>
      </w:r>
    </w:p>
    <w:p w14:paraId="15859117" w14:textId="77777777" w:rsidR="00592745" w:rsidRDefault="00F13117" w:rsidP="00D77C5F">
      <w:pPr>
        <w:pStyle w:val="BodyCopy"/>
        <w:ind w:left="720"/>
      </w:pPr>
      <w:r w:rsidRPr="00F13117">
        <w:t>Insolvency Service</w:t>
      </w:r>
      <w:r>
        <w:t xml:space="preserve">: </w:t>
      </w:r>
      <w:r w:rsidR="00D77C5F">
        <w:t>Monthly Insolvency Statistics</w:t>
      </w:r>
    </w:p>
    <w:p w14:paraId="401BE3EA" w14:textId="6619FF6A" w:rsidR="00592745" w:rsidRDefault="00592745" w:rsidP="00592745">
      <w:pPr>
        <w:pStyle w:val="BodyCopy"/>
      </w:pPr>
      <w:r>
        <w:t>20</w:t>
      </w:r>
      <w:r>
        <w:tab/>
      </w:r>
      <w:r w:rsidR="00720A74">
        <w:t xml:space="preserve">ONS: </w:t>
      </w:r>
      <w:r w:rsidR="00720A74" w:rsidRPr="00720A74">
        <w:t>UK monthly inflation figures</w:t>
      </w:r>
    </w:p>
    <w:p w14:paraId="4A4AC6DA" w14:textId="13BE365A" w:rsidR="00D77C5F" w:rsidRDefault="00D77C5F" w:rsidP="00D77C5F">
      <w:pPr>
        <w:pStyle w:val="BodyCopy"/>
      </w:pPr>
      <w:r>
        <w:tab/>
      </w:r>
    </w:p>
    <w:p w14:paraId="31BB8744" w14:textId="77777777" w:rsidR="00D77C5F" w:rsidRPr="00D77C5F" w:rsidRDefault="00D77C5F" w:rsidP="00D77C5F">
      <w:pPr>
        <w:pStyle w:val="HighlightBoxStyle1"/>
      </w:pPr>
      <w:r w:rsidRPr="00D77C5F">
        <w:t>Politics/Regulation</w:t>
      </w:r>
    </w:p>
    <w:p w14:paraId="02410F07" w14:textId="77777777" w:rsidR="00D77C5F" w:rsidRDefault="00D77C5F" w:rsidP="00D77C5F">
      <w:pPr>
        <w:pStyle w:val="BodyCopy"/>
      </w:pPr>
    </w:p>
    <w:p w14:paraId="14EA326C" w14:textId="77777777" w:rsidR="00D77C5F" w:rsidRDefault="00D77C5F" w:rsidP="00D77C5F">
      <w:pPr>
        <w:pStyle w:val="BodyCopy"/>
      </w:pPr>
      <w:r>
        <w:t>04</w:t>
      </w:r>
      <w:r>
        <w:tab/>
        <w:t>LF Equity Income Fund Settlement Scheme voting deadline</w:t>
      </w:r>
    </w:p>
    <w:p w14:paraId="779D1986" w14:textId="44BEF299" w:rsidR="00D77C5F" w:rsidRDefault="00D77C5F" w:rsidP="00D77C5F">
      <w:pPr>
        <w:pStyle w:val="BodyCopy"/>
      </w:pPr>
      <w:r>
        <w:t>05</w:t>
      </w:r>
      <w:r>
        <w:tab/>
      </w:r>
      <w:r w:rsidR="00F13117">
        <w:t xml:space="preserve">ONS: </w:t>
      </w:r>
      <w:r>
        <w:t>Business views and actions on environment, climate and nature artic</w:t>
      </w:r>
      <w:r w:rsidR="00F13117">
        <w:t>le</w:t>
      </w:r>
    </w:p>
    <w:p w14:paraId="60E914AD" w14:textId="77777777" w:rsidR="00D77C5F" w:rsidRDefault="00D77C5F" w:rsidP="00D77C5F">
      <w:pPr>
        <w:pStyle w:val="BodyCopy"/>
      </w:pPr>
      <w:r>
        <w:t>07</w:t>
      </w:r>
      <w:r>
        <w:tab/>
        <w:t>British Chambers of Commerce Economic Forecast</w:t>
      </w:r>
      <w:r>
        <w:tab/>
      </w:r>
    </w:p>
    <w:p w14:paraId="68CB195F" w14:textId="77777777" w:rsidR="00D77C5F" w:rsidRDefault="00D77C5F" w:rsidP="00D77C5F">
      <w:pPr>
        <w:pStyle w:val="BodyCopy"/>
      </w:pPr>
      <w:r>
        <w:t>08</w:t>
      </w:r>
      <w:r>
        <w:tab/>
        <w:t>NAO report on financial services regulation</w:t>
      </w:r>
      <w:r>
        <w:tab/>
      </w:r>
    </w:p>
    <w:p w14:paraId="5B5CF3A1" w14:textId="77777777" w:rsidR="00D77C5F" w:rsidRDefault="00D77C5F" w:rsidP="00D77C5F">
      <w:pPr>
        <w:pStyle w:val="BodyCopy"/>
      </w:pPr>
      <w:r>
        <w:t>13</w:t>
      </w:r>
      <w:r>
        <w:tab/>
        <w:t>Baroness Penn speaks on 'seizing the opportunity of Net Zero'</w:t>
      </w:r>
    </w:p>
    <w:p w14:paraId="2089BCB6" w14:textId="77777777" w:rsidR="00D77C5F" w:rsidRDefault="00D77C5F" w:rsidP="00D77C5F">
      <w:pPr>
        <w:pStyle w:val="BodyCopy"/>
      </w:pPr>
    </w:p>
    <w:p w14:paraId="5F19539A" w14:textId="77777777" w:rsidR="00D77C5F" w:rsidRPr="00D77C5F" w:rsidRDefault="00D77C5F" w:rsidP="00D77C5F">
      <w:pPr>
        <w:pStyle w:val="HighlightBoxStyle1"/>
      </w:pPr>
      <w:r w:rsidRPr="00D77C5F">
        <w:t>Reports/Surveys</w:t>
      </w:r>
    </w:p>
    <w:p w14:paraId="69A931B4" w14:textId="77777777" w:rsidR="00D77C5F" w:rsidRDefault="00D77C5F" w:rsidP="00D77C5F">
      <w:pPr>
        <w:pStyle w:val="BodyCopy"/>
      </w:pPr>
    </w:p>
    <w:p w14:paraId="1AE4C2C6" w14:textId="176F03BF" w:rsidR="00D77C5F" w:rsidRDefault="00D77C5F" w:rsidP="00D77C5F">
      <w:pPr>
        <w:pStyle w:val="BodyCopy"/>
      </w:pPr>
      <w:r>
        <w:t>05</w:t>
      </w:r>
      <w:r>
        <w:tab/>
      </w:r>
      <w:r w:rsidR="00F13117" w:rsidRPr="00F13117">
        <w:t>Policy Connect</w:t>
      </w:r>
      <w:r w:rsidR="00F13117">
        <w:t xml:space="preserve">: </w:t>
      </w:r>
      <w:r>
        <w:t xml:space="preserve">'How to liberate employers and skill workers for the </w:t>
      </w:r>
      <w:r>
        <w:tab/>
      </w:r>
      <w:r>
        <w:tab/>
        <w:t>future' report launch</w:t>
      </w:r>
      <w:r>
        <w:tab/>
      </w:r>
    </w:p>
    <w:p w14:paraId="5510ED7C" w14:textId="77777777" w:rsidR="00D77C5F" w:rsidRDefault="00D77C5F" w:rsidP="00D77C5F">
      <w:pPr>
        <w:pStyle w:val="BodyCopy"/>
        <w:ind w:left="720"/>
      </w:pPr>
      <w:r>
        <w:t>The 100 Group Annual Total Tax Contribution Survey launch</w:t>
      </w:r>
      <w:r>
        <w:tab/>
      </w:r>
    </w:p>
    <w:p w14:paraId="3F066F1E" w14:textId="03D9BEAE" w:rsidR="00741CB6" w:rsidRDefault="00D77C5F" w:rsidP="00D77C5F">
      <w:pPr>
        <w:pStyle w:val="BodyCopy"/>
      </w:pPr>
      <w:r>
        <w:t>06</w:t>
      </w:r>
      <w:r>
        <w:tab/>
        <w:t>London Business 1000 report launch</w:t>
      </w:r>
      <w:r>
        <w:tab/>
      </w:r>
    </w:p>
    <w:p w14:paraId="6BF01B7E" w14:textId="77777777" w:rsidR="00D77C5F" w:rsidRDefault="00D77C5F" w:rsidP="00D77C5F">
      <w:pPr>
        <w:pStyle w:val="BodyCopy"/>
        <w:ind w:left="720"/>
      </w:pPr>
      <w:r>
        <w:t>KPMG and REC UK Report on Jobs</w:t>
      </w:r>
      <w:r>
        <w:tab/>
      </w:r>
    </w:p>
    <w:p w14:paraId="755BA536" w14:textId="77777777" w:rsidR="00D77C5F" w:rsidRDefault="00D77C5F" w:rsidP="00D77C5F">
      <w:pPr>
        <w:pStyle w:val="BodyCopy"/>
      </w:pPr>
      <w:r>
        <w:t>11</w:t>
      </w:r>
      <w:r>
        <w:tab/>
        <w:t>High Pay Centre publishes analysis of latest pay ratio disclosures</w:t>
      </w:r>
    </w:p>
    <w:p w14:paraId="57DDECF2" w14:textId="34010FAF" w:rsidR="00D77C5F" w:rsidRDefault="00F13117" w:rsidP="00D77C5F">
      <w:pPr>
        <w:pStyle w:val="BodyCopy"/>
        <w:ind w:left="720"/>
      </w:pPr>
      <w:r w:rsidRPr="00F13117">
        <w:t>PMI by S&amp;P Global</w:t>
      </w:r>
      <w:r>
        <w:t xml:space="preserve">: </w:t>
      </w:r>
      <w:r w:rsidR="00D77C5F">
        <w:t>UK Regional PMI</w:t>
      </w:r>
      <w:r w:rsidR="00D77C5F">
        <w:tab/>
      </w:r>
    </w:p>
    <w:p w14:paraId="77D7E224" w14:textId="77777777" w:rsidR="00D77C5F" w:rsidRDefault="00D77C5F" w:rsidP="00D77C5F">
      <w:pPr>
        <w:pStyle w:val="BodyCopy"/>
      </w:pPr>
      <w:r>
        <w:t>12</w:t>
      </w:r>
      <w:r>
        <w:tab/>
        <w:t>Manpower UK Employment Outlook Survey</w:t>
      </w:r>
    </w:p>
    <w:p w14:paraId="300B844D" w14:textId="77777777" w:rsidR="00D77C5F" w:rsidRDefault="00D77C5F" w:rsidP="00D77C5F">
      <w:pPr>
        <w:pStyle w:val="BodyCopy"/>
      </w:pPr>
      <w:r>
        <w:t>13</w:t>
      </w:r>
      <w:r>
        <w:tab/>
        <w:t>HM Treasury Country and Regional Analysis 2022-23</w:t>
      </w:r>
      <w:r>
        <w:tab/>
      </w:r>
    </w:p>
    <w:p w14:paraId="44DF5650" w14:textId="77777777" w:rsidR="00D77C5F" w:rsidRDefault="00D77C5F" w:rsidP="00D77C5F">
      <w:pPr>
        <w:pStyle w:val="BodyCopy"/>
        <w:ind w:left="720"/>
      </w:pPr>
      <w:r>
        <w:t>IFS releases state pension report</w:t>
      </w:r>
      <w:r>
        <w:tab/>
      </w:r>
    </w:p>
    <w:p w14:paraId="4B932225" w14:textId="77777777" w:rsidR="001F5073" w:rsidRDefault="001F5073" w:rsidP="00514F60"/>
    <w:p w14:paraId="6691C5CC" w14:textId="77777777" w:rsidR="001F5073" w:rsidRDefault="001F5073" w:rsidP="00514F60"/>
    <w:p w14:paraId="39A99BE1" w14:textId="77777777" w:rsidR="001F5073" w:rsidRPr="009004AF" w:rsidRDefault="001F5073" w:rsidP="00514F60"/>
    <w:sectPr w:rsidR="001F5073" w:rsidRPr="009004AF" w:rsidSect="001F507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40" w:code="9"/>
      <w:pgMar w:top="1469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5A13B" w14:textId="77777777" w:rsidR="00F84073" w:rsidRDefault="00F84073" w:rsidP="00DE5C58">
      <w:r>
        <w:separator/>
      </w:r>
    </w:p>
  </w:endnote>
  <w:endnote w:type="continuationSeparator" w:id="0">
    <w:p w14:paraId="7CAF5E3E" w14:textId="77777777" w:rsidR="00F84073" w:rsidRDefault="00F84073" w:rsidP="00DE5C58">
      <w:r>
        <w:continuationSeparator/>
      </w:r>
    </w:p>
  </w:endnote>
  <w:endnote w:type="continuationNotice" w:id="1">
    <w:p w14:paraId="43066DDD" w14:textId="77777777" w:rsidR="00F84073" w:rsidRDefault="00F840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04448682" w:displacedByCustomXml="next"/>
  <w:sdt>
    <w:sdtPr>
      <w:rPr>
        <w:rStyle w:val="PageNumber"/>
        <w:rFonts w:ascii="Century Gothic" w:hAnsi="Century Gothic"/>
      </w:rPr>
      <w:id w:val="-822660855"/>
      <w:docPartObj>
        <w:docPartGallery w:val="Page Numbers (Top of Page)"/>
        <w:docPartUnique/>
      </w:docPartObj>
    </w:sdtPr>
    <w:sdtEndPr>
      <w:rPr>
        <w:rStyle w:val="PageNumber"/>
        <w:sz w:val="20"/>
        <w:szCs w:val="20"/>
      </w:rPr>
    </w:sdtEndPr>
    <w:sdtContent>
      <w:p w14:paraId="77B7E58D" w14:textId="77777777" w:rsidR="001F5073" w:rsidRPr="001F5073" w:rsidRDefault="001F5073" w:rsidP="001F5073">
        <w:pPr>
          <w:pStyle w:val="Header"/>
          <w:framePr w:wrap="none" w:vAnchor="text" w:hAnchor="page" w:x="10831" w:y="-335"/>
          <w:rPr>
            <w:rStyle w:val="PageNumber"/>
            <w:rFonts w:ascii="Century Gothic" w:hAnsi="Century Gothic"/>
            <w:sz w:val="20"/>
            <w:szCs w:val="20"/>
          </w:rPr>
        </w:pPr>
        <w:r w:rsidRPr="001F5073">
          <w:rPr>
            <w:rStyle w:val="PageNumber"/>
            <w:rFonts w:ascii="Century Gothic" w:hAnsi="Century Gothic"/>
            <w:sz w:val="20"/>
            <w:szCs w:val="20"/>
          </w:rPr>
          <w:fldChar w:fldCharType="begin"/>
        </w:r>
        <w:r w:rsidRPr="001F5073">
          <w:rPr>
            <w:rStyle w:val="PageNumber"/>
            <w:rFonts w:ascii="Century Gothic" w:hAnsi="Century Gothic"/>
            <w:sz w:val="20"/>
            <w:szCs w:val="20"/>
          </w:rPr>
          <w:instrText xml:space="preserve"> PAGE </w:instrText>
        </w:r>
        <w:r w:rsidRPr="001F5073">
          <w:rPr>
            <w:rStyle w:val="PageNumber"/>
            <w:rFonts w:ascii="Century Gothic" w:hAnsi="Century Gothic"/>
            <w:sz w:val="20"/>
            <w:szCs w:val="20"/>
          </w:rPr>
          <w:fldChar w:fldCharType="separate"/>
        </w:r>
        <w:r w:rsidRPr="001F5073">
          <w:rPr>
            <w:rStyle w:val="PageNumber"/>
            <w:rFonts w:ascii="Century Gothic" w:hAnsi="Century Gothic"/>
            <w:noProof/>
            <w:sz w:val="20"/>
            <w:szCs w:val="20"/>
          </w:rPr>
          <w:t>2</w:t>
        </w:r>
        <w:r w:rsidRPr="001F5073">
          <w:rPr>
            <w:rStyle w:val="PageNumber"/>
            <w:rFonts w:ascii="Century Gothic" w:hAnsi="Century Gothic"/>
            <w:sz w:val="20"/>
            <w:szCs w:val="20"/>
          </w:rPr>
          <w:fldChar w:fldCharType="end"/>
        </w:r>
      </w:p>
    </w:sdtContent>
  </w:sdt>
  <w:p w14:paraId="64EE3B32" w14:textId="5CB5B316" w:rsidR="0056760B" w:rsidRPr="00431D01" w:rsidRDefault="00D77C5F">
    <w:pPr>
      <w:pStyle w:val="Footer"/>
      <w:rPr>
        <w:color w:val="A6A6A6" w:themeColor="background1" w:themeShade="A6"/>
        <w:sz w:val="16"/>
        <w:szCs w:val="16"/>
      </w:rPr>
    </w:pPr>
    <w:r>
      <w:rPr>
        <w:color w:val="A6A6A6" w:themeColor="background1" w:themeShade="A6"/>
        <w:sz w:val="16"/>
        <w:szCs w:val="16"/>
      </w:rPr>
      <w:t>Forward Look Dates</w:t>
    </w:r>
    <w:r w:rsidR="0056760B" w:rsidRPr="00431D01">
      <w:rPr>
        <w:color w:val="A6A6A6" w:themeColor="background1" w:themeShade="A6"/>
        <w:sz w:val="16"/>
        <w:szCs w:val="16"/>
      </w:rPr>
      <w:t xml:space="preserve"> |   </w:t>
    </w:r>
    <w:bookmarkEnd w:id="0"/>
    <w:r>
      <w:rPr>
        <w:color w:val="A6A6A6" w:themeColor="background1" w:themeShade="A6"/>
        <w:sz w:val="16"/>
        <w:szCs w:val="16"/>
      </w:rPr>
      <w:t>December</w:t>
    </w:r>
    <w:r w:rsidR="00741CB6">
      <w:rPr>
        <w:color w:val="A6A6A6" w:themeColor="background1" w:themeShade="A6"/>
        <w:sz w:val="16"/>
        <w:szCs w:val="16"/>
      </w:rPr>
      <w:t xml:space="preserve"> 2023</w:t>
    </w:r>
    <w:r w:rsidR="00431D01" w:rsidRPr="00431D01">
      <w:rPr>
        <w:color w:val="A6A6A6" w:themeColor="background1" w:themeShade="A6"/>
        <w:sz w:val="16"/>
        <w:szCs w:val="16"/>
      </w:rPr>
      <w:tab/>
    </w:r>
    <w:r w:rsidR="00431D01" w:rsidRPr="00431D01">
      <w:rPr>
        <w:color w:val="A6A6A6" w:themeColor="background1" w:themeShade="A6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6F881" w14:textId="3C8345E6" w:rsidR="00A05C43" w:rsidRDefault="00876816">
    <w:pPr>
      <w:pStyle w:val="Footer"/>
    </w:pPr>
    <w:r>
      <w:rPr>
        <w:color w:val="A6A6A6" w:themeColor="background1" w:themeShade="A6"/>
        <w:sz w:val="16"/>
        <w:szCs w:val="16"/>
      </w:rPr>
      <w:t xml:space="preserve">Forward Look Dates </w:t>
    </w:r>
    <w:r w:rsidR="00A05C43" w:rsidRPr="00431D01">
      <w:rPr>
        <w:color w:val="A6A6A6" w:themeColor="background1" w:themeShade="A6"/>
        <w:sz w:val="16"/>
        <w:szCs w:val="16"/>
      </w:rPr>
      <w:t>|</w:t>
    </w:r>
    <w:r>
      <w:rPr>
        <w:color w:val="A6A6A6" w:themeColor="background1" w:themeShade="A6"/>
        <w:sz w:val="16"/>
        <w:szCs w:val="16"/>
      </w:rPr>
      <w:t xml:space="preserve"> December 2023</w:t>
    </w:r>
    <w:r w:rsidR="00A05C43">
      <w:tab/>
    </w:r>
    <w:r w:rsidR="00A05C4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EAA4E" w14:textId="77777777" w:rsidR="00F84073" w:rsidRDefault="00F84073" w:rsidP="00DE5C58">
      <w:r>
        <w:separator/>
      </w:r>
    </w:p>
  </w:footnote>
  <w:footnote w:type="continuationSeparator" w:id="0">
    <w:p w14:paraId="182E5EC6" w14:textId="77777777" w:rsidR="00F84073" w:rsidRDefault="00F84073" w:rsidP="00DE5C58">
      <w:r>
        <w:continuationSeparator/>
      </w:r>
    </w:p>
  </w:footnote>
  <w:footnote w:type="continuationNotice" w:id="1">
    <w:p w14:paraId="20A77315" w14:textId="77777777" w:rsidR="00F84073" w:rsidRDefault="00F8407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2642341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3D041B6C" w14:textId="77777777" w:rsidR="00413E69" w:rsidRDefault="00413E69" w:rsidP="00BF212E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19CDB98" w14:textId="77777777" w:rsidR="00413E69" w:rsidRDefault="00413E69" w:rsidP="00413E6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AABA8" w14:textId="77777777" w:rsidR="00413E69" w:rsidRDefault="009F494A" w:rsidP="009F494A">
    <w:pPr>
      <w:pStyle w:val="Header"/>
      <w:ind w:right="360"/>
      <w:jc w:val="right"/>
    </w:pPr>
    <w:r>
      <w:rPr>
        <w:noProof/>
      </w:rPr>
      <w:drawing>
        <wp:anchor distT="0" distB="0" distL="114300" distR="114300" simplePos="0" relativeHeight="251658243" behindDoc="1" locked="0" layoutInCell="1" allowOverlap="1" wp14:anchorId="4B12C11F" wp14:editId="29879AFA">
          <wp:simplePos x="0" y="0"/>
          <wp:positionH relativeFrom="column">
            <wp:posOffset>4947285</wp:posOffset>
          </wp:positionH>
          <wp:positionV relativeFrom="paragraph">
            <wp:posOffset>187325</wp:posOffset>
          </wp:positionV>
          <wp:extent cx="788400" cy="309600"/>
          <wp:effectExtent l="0" t="0" r="0" b="0"/>
          <wp:wrapNone/>
          <wp:docPr id="3" name="Picture 3" descr="A picture containing text,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ock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400" cy="3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18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251450E" wp14:editId="12D31AEE">
              <wp:simplePos x="0" y="0"/>
              <wp:positionH relativeFrom="page">
                <wp:align>left</wp:align>
              </wp:positionH>
              <wp:positionV relativeFrom="paragraph">
                <wp:posOffset>-487045</wp:posOffset>
              </wp:positionV>
              <wp:extent cx="141889" cy="10691409"/>
              <wp:effectExtent l="0" t="0" r="0" b="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1889" cy="10691409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13294B"/>
                          </a:gs>
                          <a:gs pos="50000">
                            <a:srgbClr val="1C8172"/>
                          </a:gs>
                        </a:gsLst>
                        <a:lin ang="14400000" scaled="0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F900DCC" id="Rectangle 6" o:spid="_x0000_s1026" style="position:absolute;margin-left:0;margin-top:-38.35pt;width:11.15pt;height:841.85pt;z-index:251658240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" fillcolor="#13294b" stroked="f" strokeweight="1pt">
              <v:fill color2="#1c8172" rotate="t" angle="210" colors="0 #13294b;.5 #1c8172" focus="100%" type="gradient">
                <o:fill v:ext="view" type="gradientUnscaled"/>
              </v:fill>
              <v:textbox inset="0,0,0,0"/>
              <w10:wrap anchorx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F6339" w14:textId="77777777" w:rsidR="00EF55AF" w:rsidRDefault="00EF55AF" w:rsidP="004C01F5">
    <w:pPr>
      <w:pStyle w:val="Header"/>
      <w:tabs>
        <w:tab w:val="clear" w:pos="4680"/>
        <w:tab w:val="clear" w:pos="9360"/>
        <w:tab w:val="right" w:pos="902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7BCE511" wp14:editId="34AC9764">
              <wp:simplePos x="0" y="0"/>
              <wp:positionH relativeFrom="column">
                <wp:posOffset>-908050</wp:posOffset>
              </wp:positionH>
              <wp:positionV relativeFrom="paragraph">
                <wp:posOffset>-451485</wp:posOffset>
              </wp:positionV>
              <wp:extent cx="141889" cy="10691409"/>
              <wp:effectExtent l="0" t="0" r="0" b="254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1889" cy="10691409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13294B"/>
                          </a:gs>
                          <a:gs pos="50000">
                            <a:srgbClr val="1C8172"/>
                          </a:gs>
                        </a:gsLst>
                        <a:lin ang="14400000" scaled="0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76BEE1A" id="Rectangle 7" o:spid="_x0000_s1026" style="position:absolute;margin-left:-71.5pt;margin-top:-35.55pt;width:11.15pt;height:841.85pt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" fillcolor="#13294b" stroked="f" strokeweight="1pt">
              <v:fill color2="#1c8172" rotate="t" angle="210" colors="0 #13294b;.5 #1c8172" focus="100%" type="gradient">
                <o:fill v:ext="view" type="gradientUnscaled"/>
              </v:fill>
              <v:textbox inset="0,0,0,0"/>
            </v:rect>
          </w:pict>
        </mc:Fallback>
      </mc:AlternateContent>
    </w:r>
    <w:r w:rsidR="009335D1">
      <w:tab/>
    </w:r>
    <w:r w:rsidR="004C01F5">
      <w:t xml:space="preserve">            </w:t>
    </w:r>
    <w:r w:rsidR="004C01F5">
      <w:tab/>
      <w:t xml:space="preserve">                </w:t>
    </w:r>
    <w:r w:rsidR="009335D1">
      <w:rPr>
        <w:noProof/>
      </w:rPr>
      <w:drawing>
        <wp:anchor distT="0" distB="0" distL="114300" distR="114300" simplePos="0" relativeHeight="251658242" behindDoc="1" locked="0" layoutInCell="1" allowOverlap="1" wp14:anchorId="5C38A57A" wp14:editId="04312479">
          <wp:simplePos x="0" y="0"/>
          <wp:positionH relativeFrom="column">
            <wp:posOffset>4946015</wp:posOffset>
          </wp:positionH>
          <wp:positionV relativeFrom="paragraph">
            <wp:posOffset>186690</wp:posOffset>
          </wp:positionV>
          <wp:extent cx="788400" cy="3096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400" cy="3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630DB"/>
    <w:multiLevelType w:val="hybridMultilevel"/>
    <w:tmpl w:val="547A247A"/>
    <w:lvl w:ilvl="0" w:tplc="B99E6C42">
      <w:start w:val="1"/>
      <w:numFmt w:val="bullet"/>
      <w:lvlText w:val="4"/>
      <w:lvlJc w:val="left"/>
      <w:pPr>
        <w:ind w:left="720" w:hanging="360"/>
      </w:pPr>
      <w:rPr>
        <w:rFonts w:ascii="Webdings" w:hAnsi="Webdings" w:hint="default"/>
        <w:color w:val="1C817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A3FC8"/>
    <w:multiLevelType w:val="hybridMultilevel"/>
    <w:tmpl w:val="9566E1E2"/>
    <w:lvl w:ilvl="0" w:tplc="6FA0ECBE">
      <w:start w:val="1"/>
      <w:numFmt w:val="bullet"/>
      <w:lvlText w:val=""/>
      <w:lvlJc w:val="left"/>
      <w:pPr>
        <w:ind w:left="567" w:firstLine="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617709"/>
    <w:multiLevelType w:val="hybridMultilevel"/>
    <w:tmpl w:val="AFF036F4"/>
    <w:lvl w:ilvl="0" w:tplc="B99E6C42">
      <w:start w:val="1"/>
      <w:numFmt w:val="bullet"/>
      <w:lvlText w:val="4"/>
      <w:lvlJc w:val="left"/>
      <w:pPr>
        <w:ind w:left="720" w:hanging="360"/>
      </w:pPr>
      <w:rPr>
        <w:rFonts w:ascii="Webdings" w:hAnsi="Webdings" w:hint="default"/>
        <w:color w:val="1C817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06420"/>
    <w:multiLevelType w:val="hybridMultilevel"/>
    <w:tmpl w:val="D910CF4A"/>
    <w:lvl w:ilvl="0" w:tplc="ECB8030A">
      <w:start w:val="1"/>
      <w:numFmt w:val="bullet"/>
      <w:pStyle w:val="Bullets"/>
      <w:lvlText w:val="4"/>
      <w:lvlJc w:val="left"/>
      <w:pPr>
        <w:ind w:left="357" w:hanging="357"/>
      </w:pPr>
      <w:rPr>
        <w:rFonts w:ascii="Webdings" w:hAnsi="Webdings" w:hint="default"/>
        <w:color w:val="1C817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E11B51"/>
    <w:multiLevelType w:val="hybridMultilevel"/>
    <w:tmpl w:val="A47E1680"/>
    <w:lvl w:ilvl="0" w:tplc="9A620C8C">
      <w:start w:val="1"/>
      <w:numFmt w:val="bullet"/>
      <w:pStyle w:val="Sub-Bullets"/>
      <w:lvlText w:val=""/>
      <w:lvlJc w:val="left"/>
      <w:pPr>
        <w:ind w:left="584" w:hanging="22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5" w15:restartNumberingAfterBreak="0">
    <w:nsid w:val="7CF10121"/>
    <w:multiLevelType w:val="hybridMultilevel"/>
    <w:tmpl w:val="18FA9F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31532948">
    <w:abstractNumId w:val="0"/>
  </w:num>
  <w:num w:numId="2" w16cid:durableId="100341858">
    <w:abstractNumId w:val="2"/>
  </w:num>
  <w:num w:numId="3" w16cid:durableId="1800805262">
    <w:abstractNumId w:val="3"/>
  </w:num>
  <w:num w:numId="4" w16cid:durableId="352417692">
    <w:abstractNumId w:val="5"/>
  </w:num>
  <w:num w:numId="5" w16cid:durableId="732966689">
    <w:abstractNumId w:val="1"/>
  </w:num>
  <w:num w:numId="6" w16cid:durableId="8472557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C5F"/>
    <w:rsid w:val="00012C3A"/>
    <w:rsid w:val="00093787"/>
    <w:rsid w:val="000E25B2"/>
    <w:rsid w:val="001F5073"/>
    <w:rsid w:val="001F5DBB"/>
    <w:rsid w:val="0028289C"/>
    <w:rsid w:val="00290484"/>
    <w:rsid w:val="002B385E"/>
    <w:rsid w:val="002E1761"/>
    <w:rsid w:val="00307502"/>
    <w:rsid w:val="003F61E0"/>
    <w:rsid w:val="00413E69"/>
    <w:rsid w:val="00431D01"/>
    <w:rsid w:val="00444F0E"/>
    <w:rsid w:val="0044550E"/>
    <w:rsid w:val="004C01F5"/>
    <w:rsid w:val="00514F60"/>
    <w:rsid w:val="00552CBB"/>
    <w:rsid w:val="0056760B"/>
    <w:rsid w:val="00592745"/>
    <w:rsid w:val="00654537"/>
    <w:rsid w:val="006A3EE2"/>
    <w:rsid w:val="006A6CA8"/>
    <w:rsid w:val="006F33D2"/>
    <w:rsid w:val="00713470"/>
    <w:rsid w:val="00720A74"/>
    <w:rsid w:val="00741CB6"/>
    <w:rsid w:val="007516C0"/>
    <w:rsid w:val="007817CC"/>
    <w:rsid w:val="00785C2E"/>
    <w:rsid w:val="00785F6F"/>
    <w:rsid w:val="00792730"/>
    <w:rsid w:val="0082225C"/>
    <w:rsid w:val="0084105B"/>
    <w:rsid w:val="00850605"/>
    <w:rsid w:val="00855E78"/>
    <w:rsid w:val="0086579E"/>
    <w:rsid w:val="00874891"/>
    <w:rsid w:val="00876816"/>
    <w:rsid w:val="0088157A"/>
    <w:rsid w:val="00897AC8"/>
    <w:rsid w:val="008E433D"/>
    <w:rsid w:val="009004AF"/>
    <w:rsid w:val="009335D1"/>
    <w:rsid w:val="00961E10"/>
    <w:rsid w:val="00972C05"/>
    <w:rsid w:val="009C0883"/>
    <w:rsid w:val="009F494A"/>
    <w:rsid w:val="00A05C43"/>
    <w:rsid w:val="00A35B0B"/>
    <w:rsid w:val="00AB59B4"/>
    <w:rsid w:val="00AF6C6A"/>
    <w:rsid w:val="00BA2C1E"/>
    <w:rsid w:val="00BE3D11"/>
    <w:rsid w:val="00C70B31"/>
    <w:rsid w:val="00C8181C"/>
    <w:rsid w:val="00C84325"/>
    <w:rsid w:val="00D514D9"/>
    <w:rsid w:val="00D54EBC"/>
    <w:rsid w:val="00D77C5F"/>
    <w:rsid w:val="00DE5C58"/>
    <w:rsid w:val="00DE79C1"/>
    <w:rsid w:val="00E72556"/>
    <w:rsid w:val="00EF3F8D"/>
    <w:rsid w:val="00EF3F95"/>
    <w:rsid w:val="00EF55AF"/>
    <w:rsid w:val="00F117E1"/>
    <w:rsid w:val="00F13117"/>
    <w:rsid w:val="00F15881"/>
    <w:rsid w:val="00F47A86"/>
    <w:rsid w:val="00F63664"/>
    <w:rsid w:val="00F65D8A"/>
    <w:rsid w:val="00F74EB6"/>
    <w:rsid w:val="00F84073"/>
    <w:rsid w:val="00F955B2"/>
    <w:rsid w:val="00FA4DF4"/>
    <w:rsid w:val="00FC1C69"/>
    <w:rsid w:val="00FC715D"/>
    <w:rsid w:val="00FE0C8C"/>
    <w:rsid w:val="00FF7E52"/>
    <w:rsid w:val="09AA1792"/>
    <w:rsid w:val="11D7EADE"/>
    <w:rsid w:val="6AA0C521"/>
    <w:rsid w:val="7946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A269CE"/>
  <w15:chartTrackingRefBased/>
  <w15:docId w15:val="{7DAAE75A-5505-4BC6-927B-BDA564CC5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5C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5C58"/>
  </w:style>
  <w:style w:type="paragraph" w:styleId="Footer">
    <w:name w:val="footer"/>
    <w:basedOn w:val="Normal"/>
    <w:link w:val="FooterChar"/>
    <w:uiPriority w:val="99"/>
    <w:unhideWhenUsed/>
    <w:rsid w:val="00DE5C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C58"/>
  </w:style>
  <w:style w:type="table" w:styleId="TableGrid">
    <w:name w:val="Table Grid"/>
    <w:basedOn w:val="TableNormal"/>
    <w:uiPriority w:val="39"/>
    <w:rsid w:val="00FA4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0484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2E1761"/>
  </w:style>
  <w:style w:type="paragraph" w:customStyle="1" w:styleId="DocumentTitle">
    <w:name w:val="Document Title"/>
    <w:basedOn w:val="Normal"/>
    <w:qFormat/>
    <w:rsid w:val="00F15881"/>
    <w:rPr>
      <w:rFonts w:ascii="Century Gothic" w:hAnsi="Century Gothic"/>
      <w:b/>
      <w:bCs/>
      <w:color w:val="FFFFFF" w:themeColor="background1"/>
      <w:sz w:val="72"/>
      <w:szCs w:val="72"/>
    </w:rPr>
  </w:style>
  <w:style w:type="paragraph" w:customStyle="1" w:styleId="Sub-Title">
    <w:name w:val="Sub-Title"/>
    <w:basedOn w:val="Normal"/>
    <w:qFormat/>
    <w:rsid w:val="00F15881"/>
    <w:rPr>
      <w:rFonts w:ascii="Century Gothic" w:hAnsi="Century Gothic"/>
      <w:color w:val="13294B"/>
      <w:sz w:val="36"/>
      <w:szCs w:val="36"/>
    </w:rPr>
  </w:style>
  <w:style w:type="paragraph" w:customStyle="1" w:styleId="Cover-DateYear">
    <w:name w:val="Cover - Date/Year"/>
    <w:basedOn w:val="Normal"/>
    <w:qFormat/>
    <w:rsid w:val="00F15881"/>
    <w:rPr>
      <w:rFonts w:ascii="Century Gothic" w:hAnsi="Century Gothic"/>
      <w:color w:val="FFFFFF" w:themeColor="background1"/>
    </w:rPr>
  </w:style>
  <w:style w:type="paragraph" w:customStyle="1" w:styleId="ChapterTitles">
    <w:name w:val="Chapter Titles"/>
    <w:basedOn w:val="Normal"/>
    <w:qFormat/>
    <w:rsid w:val="00444F0E"/>
    <w:rPr>
      <w:rFonts w:ascii="Century Gothic" w:hAnsi="Century Gothic"/>
      <w:b/>
      <w:bCs/>
      <w:color w:val="2F8475"/>
      <w:sz w:val="64"/>
      <w:szCs w:val="64"/>
    </w:rPr>
  </w:style>
  <w:style w:type="paragraph" w:customStyle="1" w:styleId="IntroText">
    <w:name w:val="Intro Text"/>
    <w:basedOn w:val="Normal"/>
    <w:qFormat/>
    <w:rsid w:val="00514F60"/>
    <w:rPr>
      <w:rFonts w:ascii="Century Gothic" w:hAnsi="Century Gothic"/>
      <w:b/>
      <w:bCs/>
      <w:color w:val="404040" w:themeColor="text1" w:themeTint="BF"/>
    </w:rPr>
  </w:style>
  <w:style w:type="paragraph" w:customStyle="1" w:styleId="BodyCopy">
    <w:name w:val="Body Copy"/>
    <w:basedOn w:val="Normal"/>
    <w:qFormat/>
    <w:rsid w:val="00514F60"/>
    <w:rPr>
      <w:rFonts w:ascii="Century Gothic" w:hAnsi="Century Gothic"/>
      <w:color w:val="404040" w:themeColor="text1" w:themeTint="BF"/>
      <w:sz w:val="22"/>
      <w:szCs w:val="22"/>
    </w:rPr>
  </w:style>
  <w:style w:type="paragraph" w:customStyle="1" w:styleId="Bullets">
    <w:name w:val="Bullets"/>
    <w:basedOn w:val="ListParagraph"/>
    <w:qFormat/>
    <w:rsid w:val="00514F60"/>
    <w:pPr>
      <w:numPr>
        <w:numId w:val="3"/>
      </w:numPr>
    </w:pPr>
    <w:rPr>
      <w:rFonts w:ascii="Century Gothic" w:hAnsi="Century Gothic"/>
      <w:color w:val="404040" w:themeColor="text1" w:themeTint="BF"/>
      <w:sz w:val="22"/>
      <w:szCs w:val="22"/>
    </w:rPr>
  </w:style>
  <w:style w:type="paragraph" w:customStyle="1" w:styleId="Sub-Bullets">
    <w:name w:val="Sub-Bullets"/>
    <w:basedOn w:val="ListParagraph"/>
    <w:qFormat/>
    <w:rsid w:val="00514F60"/>
    <w:pPr>
      <w:numPr>
        <w:numId w:val="6"/>
      </w:numPr>
    </w:pPr>
    <w:rPr>
      <w:rFonts w:ascii="Century Gothic" w:hAnsi="Century Gothic"/>
      <w:color w:val="404040" w:themeColor="text1" w:themeTint="BF"/>
      <w:sz w:val="20"/>
      <w:szCs w:val="20"/>
    </w:rPr>
  </w:style>
  <w:style w:type="paragraph" w:customStyle="1" w:styleId="SectionTitle">
    <w:name w:val="Section Title"/>
    <w:basedOn w:val="Normal"/>
    <w:qFormat/>
    <w:rsid w:val="00514F60"/>
    <w:rPr>
      <w:rFonts w:ascii="Century Gothic" w:hAnsi="Century Gothic"/>
      <w:b/>
      <w:bCs/>
      <w:color w:val="404040" w:themeColor="text1" w:themeTint="BF"/>
      <w:sz w:val="22"/>
      <w:szCs w:val="22"/>
    </w:rPr>
  </w:style>
  <w:style w:type="paragraph" w:customStyle="1" w:styleId="TableHeader">
    <w:name w:val="Table Header"/>
    <w:basedOn w:val="Normal"/>
    <w:qFormat/>
    <w:rsid w:val="00444F0E"/>
    <w:rPr>
      <w:rFonts w:ascii="Century Gothic" w:hAnsi="Century Gothic" w:cs="Arial"/>
      <w:b/>
      <w:bCs/>
      <w:color w:val="FFFFFF" w:themeColor="background1"/>
      <w:kern w:val="24"/>
      <w:sz w:val="22"/>
      <w:szCs w:val="22"/>
      <w:lang w:val="en-US"/>
    </w:rPr>
  </w:style>
  <w:style w:type="paragraph" w:customStyle="1" w:styleId="TableNumbers">
    <w:name w:val="Table Numbers"/>
    <w:basedOn w:val="Normal"/>
    <w:qFormat/>
    <w:rsid w:val="00444F0E"/>
    <w:pPr>
      <w:jc w:val="center"/>
    </w:pPr>
    <w:rPr>
      <w:rFonts w:ascii="Century Gothic" w:hAnsi="Century Gothic" w:cs="Arial"/>
      <w:b/>
      <w:bCs/>
      <w:color w:val="000000" w:themeColor="dark1"/>
      <w:kern w:val="24"/>
      <w:sz w:val="22"/>
      <w:szCs w:val="22"/>
      <w:lang w:val="en-US"/>
    </w:rPr>
  </w:style>
  <w:style w:type="paragraph" w:customStyle="1" w:styleId="HighlightBoxStyle1">
    <w:name w:val="Highlight Box Style 1"/>
    <w:basedOn w:val="Normal"/>
    <w:qFormat/>
    <w:rsid w:val="00444F0E"/>
    <w:pPr>
      <w:ind w:left="585" w:hanging="585"/>
    </w:pPr>
    <w:rPr>
      <w:rFonts w:ascii="Century Gothic" w:hAnsi="Century Gothic"/>
      <w:b/>
      <w:bCs/>
      <w:color w:val="2F8475"/>
      <w:sz w:val="22"/>
      <w:szCs w:val="22"/>
    </w:rPr>
  </w:style>
  <w:style w:type="paragraph" w:customStyle="1" w:styleId="HighlightBoxStyle2">
    <w:name w:val="Highlight Box Style 2"/>
    <w:basedOn w:val="Normal"/>
    <w:qFormat/>
    <w:rsid w:val="00444F0E"/>
    <w:pPr>
      <w:ind w:left="585" w:hanging="585"/>
    </w:pPr>
    <w:rPr>
      <w:rFonts w:ascii="Century Gothic" w:hAnsi="Century Gothic"/>
      <w:b/>
      <w:bCs/>
      <w:color w:val="13294B"/>
      <w:sz w:val="22"/>
      <w:szCs w:val="22"/>
    </w:rPr>
  </w:style>
  <w:style w:type="paragraph" w:styleId="Revision">
    <w:name w:val="Revision"/>
    <w:hidden/>
    <w:uiPriority w:val="99"/>
    <w:semiHidden/>
    <w:rsid w:val="009C0883"/>
  </w:style>
  <w:style w:type="character" w:styleId="CommentReference">
    <w:name w:val="annotation reference"/>
    <w:basedOn w:val="DefaultParagraphFont"/>
    <w:uiPriority w:val="99"/>
    <w:semiHidden/>
    <w:unhideWhenUsed/>
    <w:rsid w:val="00741C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1C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1C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1C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1C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0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1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8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2\Shared%20Folders\M%20Drive\Marketing%20and%20Biz%20Dev\Brand%20templates%20and%20logos\Templates\MRM%20Agenda%20template%20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DB02F-29AA-4F96-9779-F8771ECF5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MRM Agenda template word</Template>
  <TotalTime>0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Giacomin</dc:creator>
  <cp:keywords/>
  <dc:description/>
  <cp:lastModifiedBy>Francesca Giacomin</cp:lastModifiedBy>
  <cp:revision>2</cp:revision>
  <cp:lastPrinted>2022-04-13T15:20:00Z</cp:lastPrinted>
  <dcterms:created xsi:type="dcterms:W3CDTF">2023-11-30T15:17:00Z</dcterms:created>
  <dcterms:modified xsi:type="dcterms:W3CDTF">2023-11-30T15:17:00Z</dcterms:modified>
</cp:coreProperties>
</file>